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622" w:rsidRPr="002D29E5" w:rsidRDefault="00461B69" w:rsidP="002D29E5">
      <w:pPr>
        <w:widowControl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29E5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VYHODNOTENIE PRIPOMIENKOVÉHO KONANIA</w:t>
      </w:r>
      <w:r w:rsidR="00785E8D" w:rsidRPr="002D29E5">
        <w:rPr>
          <w:rFonts w:ascii="Times New Roman" w:eastAsia="Times New Roman" w:hAnsi="Times New Roman" w:cs="Times New Roman"/>
          <w:b/>
          <w:sz w:val="28"/>
          <w:szCs w:val="24"/>
        </w:rPr>
        <w:br/>
      </w:r>
      <w:r w:rsidR="009D32B4" w:rsidRPr="002D29E5">
        <w:rPr>
          <w:rFonts w:ascii="Times New Roman" w:eastAsia="Times New Roman" w:hAnsi="Times New Roman" w:cs="Times New Roman"/>
          <w:b/>
          <w:sz w:val="24"/>
          <w:szCs w:val="24"/>
        </w:rPr>
        <w:t>Návrh nariadenia vlády Slovenskej republiky, ktorým sa mení nariadenie vlády Slovenskej republiky č. 359/2011 Z. z., ktorým sa  ustanovujú požiadavky na niektoré potravinárske prevádzkarne a na malé množstvá</w:t>
      </w:r>
      <w:r w:rsidR="00917A99" w:rsidRPr="002D29E5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3F1216" w:rsidRPr="002D29E5">
        <w:rPr>
          <w:rFonts w:ascii="Times New Roman" w:eastAsia="Times New Roman" w:hAnsi="Times New Roman" w:cs="Times New Roman"/>
          <w:bCs/>
          <w:sz w:val="24"/>
          <w:szCs w:val="24"/>
        </w:rPr>
        <w:t>LP/2025/414</w:t>
      </w:r>
    </w:p>
    <w:p w:rsidR="002D29E5" w:rsidRDefault="00785E8D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9E5">
        <w:rPr>
          <w:rFonts w:ascii="Times New Roman" w:eastAsia="Times New Roman" w:hAnsi="Times New Roman" w:cs="Times New Roman"/>
          <w:b/>
          <w:bCs/>
          <w:sz w:val="24"/>
          <w:szCs w:val="24"/>
        </w:rPr>
        <w:t>Spôsob pripomienkového konania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br/>
        <w:t>Počet vznesených pripomienok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>z toho zásadných:</w:t>
      </w:r>
      <w:r w:rsidR="00FC0831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FC0831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FC0831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AD6CAE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>10/</w:t>
      </w:r>
      <w:r w:rsidR="00AD51F0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>et vyhodnotených pripomienok:</w:t>
      </w:r>
      <w:r w:rsidR="00B41FEA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754CB0" w:rsidRPr="002D29E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677591" w:rsidRPr="002D29E5">
        <w:rPr>
          <w:rFonts w:ascii="Times New Roman" w:hAnsi="Times New Roman" w:cs="Times New Roman"/>
          <w:sz w:val="24"/>
          <w:szCs w:val="24"/>
        </w:rPr>
        <w:br/>
      </w:r>
      <w:r w:rsidR="00677591" w:rsidRPr="002D29E5">
        <w:rPr>
          <w:rFonts w:ascii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  <w:lang w:val="en-US"/>
        </w:rPr>
        <w:t>et akceptovaných pripomienok, z toho zásadných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273DAE" w:rsidRPr="002D29E5">
        <w:rPr>
          <w:rFonts w:ascii="Times New Roman" w:eastAsia="Times New Roman" w:hAnsi="Times New Roman" w:cs="Times New Roman"/>
          <w:sz w:val="24"/>
          <w:szCs w:val="24"/>
        </w:rPr>
        <w:t>5</w:t>
      </w:r>
      <w:r w:rsidR="00754CB0" w:rsidRPr="002D29E5">
        <w:rPr>
          <w:rFonts w:ascii="Times New Roman" w:eastAsia="Times New Roman" w:hAnsi="Times New Roman" w:cs="Times New Roman"/>
          <w:sz w:val="24"/>
          <w:szCs w:val="24"/>
        </w:rPr>
        <w:t>/1</w:t>
      </w:r>
      <w:r w:rsidR="009275DB" w:rsidRPr="002D29E5">
        <w:rPr>
          <w:rFonts w:ascii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et čiasto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ne akceptovaných pripomienok, z toho zásadných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AD6CAE" w:rsidRPr="002D29E5">
        <w:rPr>
          <w:rFonts w:ascii="Times New Roman" w:eastAsia="Times New Roman" w:hAnsi="Times New Roman" w:cs="Times New Roman"/>
          <w:sz w:val="24"/>
          <w:szCs w:val="24"/>
        </w:rPr>
        <w:t>4/</w:t>
      </w:r>
      <w:r w:rsidR="00AD51F0" w:rsidRPr="002D29E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E0404" w:rsidRPr="002D29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hAnsi="Times New Roman" w:cs="Times New Roman"/>
          <w:sz w:val="24"/>
          <w:szCs w:val="24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hAnsi="Times New Roman" w:cs="Times New Roman"/>
          <w:sz w:val="24"/>
          <w:szCs w:val="24"/>
        </w:rPr>
        <w:t>et neakceptovaných pripomienok, z toho zásadných:</w:t>
      </w:r>
      <w:r w:rsidR="00AE09D4" w:rsidRPr="002D29E5">
        <w:rPr>
          <w:rFonts w:ascii="Times New Roman" w:hAnsi="Times New Roman" w:cs="Times New Roman"/>
          <w:sz w:val="24"/>
          <w:szCs w:val="24"/>
        </w:rPr>
        <w:tab/>
      </w:r>
      <w:r w:rsidR="00AE09D4" w:rsidRPr="002D29E5">
        <w:rPr>
          <w:rFonts w:ascii="Times New Roman" w:hAnsi="Times New Roman" w:cs="Times New Roman"/>
          <w:sz w:val="24"/>
          <w:szCs w:val="24"/>
        </w:rPr>
        <w:tab/>
      </w:r>
      <w:r w:rsidR="00AD6CAE" w:rsidRPr="002D29E5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48F0" w:rsidRPr="002D29E5">
        <w:rPr>
          <w:rFonts w:ascii="Times New Roman" w:eastAsia="Times New Roman" w:hAnsi="Times New Roman" w:cs="Times New Roman"/>
          <w:sz w:val="24"/>
          <w:szCs w:val="24"/>
        </w:rPr>
        <w:t>/0</w:t>
      </w:r>
      <w:r w:rsidR="00677591" w:rsidRPr="002D29E5">
        <w:rPr>
          <w:rFonts w:ascii="Times New Roman" w:hAnsi="Times New Roman" w:cs="Times New Roman"/>
          <w:sz w:val="24"/>
          <w:szCs w:val="24"/>
        </w:rPr>
        <w:br/>
      </w:r>
      <w:r w:rsidR="00677591" w:rsidRPr="002D29E5">
        <w:rPr>
          <w:rFonts w:ascii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et vznesených hromadných pripomienok:</w:t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011D51" w:rsidRPr="002D29E5">
        <w:rPr>
          <w:rFonts w:ascii="Times New Roman" w:eastAsia="Times New Roman" w:hAnsi="Times New Roman" w:cs="Times New Roman"/>
          <w:sz w:val="24"/>
          <w:szCs w:val="24"/>
        </w:rPr>
        <w:t>0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br/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et vyhodnotených hromadných pripomienok:</w:t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AD6CAE" w:rsidRPr="002D29E5">
        <w:rPr>
          <w:rFonts w:ascii="Times New Roman" w:hAnsi="Times New Roman" w:cs="Times New Roman"/>
          <w:sz w:val="24"/>
          <w:szCs w:val="24"/>
        </w:rPr>
        <w:t>0</w:t>
      </w:r>
      <w:r w:rsidR="00677591" w:rsidRPr="002D29E5">
        <w:rPr>
          <w:rFonts w:ascii="Times New Roman" w:hAnsi="Times New Roman" w:cs="Times New Roman"/>
          <w:sz w:val="24"/>
          <w:szCs w:val="24"/>
        </w:rPr>
        <w:br/>
      </w:r>
      <w:r w:rsidR="00677591" w:rsidRPr="002D29E5">
        <w:rPr>
          <w:rFonts w:ascii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et akceptovaných hromadných pripomienok:</w:t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AD6CAE" w:rsidRPr="002D29E5">
        <w:rPr>
          <w:rFonts w:ascii="Times New Roman" w:eastAsia="Times New Roman" w:hAnsi="Times New Roman" w:cs="Times New Roman"/>
          <w:sz w:val="24"/>
          <w:szCs w:val="24"/>
        </w:rPr>
        <w:t>0</w:t>
      </w:r>
      <w:r w:rsidR="009275DB" w:rsidRPr="002D29E5">
        <w:rPr>
          <w:rFonts w:ascii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et čiasto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ne akceptovaných hromadných pripomienok:</w:t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AD6CAE" w:rsidRPr="002D29E5">
        <w:rPr>
          <w:rFonts w:ascii="Times New Roman" w:eastAsia="Times New Roman" w:hAnsi="Times New Roman" w:cs="Times New Roman"/>
          <w:sz w:val="24"/>
          <w:szCs w:val="24"/>
        </w:rPr>
        <w:t>0</w:t>
      </w:r>
      <w:r w:rsidR="009275DB" w:rsidRPr="002D29E5">
        <w:rPr>
          <w:rFonts w:ascii="Times New Roman" w:hAnsi="Times New Roman" w:cs="Times New Roman"/>
          <w:sz w:val="24"/>
          <w:szCs w:val="24"/>
        </w:rPr>
        <w:br/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Po</w:t>
      </w:r>
      <w:r w:rsidR="00677591" w:rsidRPr="002D29E5">
        <w:rPr>
          <w:rFonts w:ascii="Times New Roman" w:eastAsia="Times New Roman" w:hAnsi="Times New Roman" w:cs="Times New Roman"/>
          <w:sz w:val="24"/>
          <w:szCs w:val="24"/>
        </w:rPr>
        <w:t>č</w:t>
      </w:r>
      <w:r w:rsidR="009275DB" w:rsidRPr="002D29E5">
        <w:rPr>
          <w:rFonts w:ascii="Times New Roman" w:eastAsia="Times New Roman" w:hAnsi="Times New Roman" w:cs="Times New Roman"/>
          <w:sz w:val="24"/>
          <w:szCs w:val="24"/>
        </w:rPr>
        <w:t>et neakceptovaných hromadných pripomienok:</w:t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B41FEA" w:rsidRPr="002D29E5">
        <w:rPr>
          <w:rFonts w:ascii="Times New Roman" w:eastAsia="Times New Roman" w:hAnsi="Times New Roman" w:cs="Times New Roman"/>
          <w:sz w:val="24"/>
          <w:szCs w:val="24"/>
        </w:rPr>
        <w:tab/>
      </w:r>
      <w:r w:rsidR="00AD6CAE" w:rsidRPr="002D29E5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2D29E5" w:rsidRDefault="002D29E5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29E5" w:rsidRDefault="002D29E5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29E5" w:rsidRDefault="002D29E5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29E5" w:rsidRDefault="002D29E5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29E5" w:rsidRDefault="002D29E5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7591" w:rsidRPr="002D29E5" w:rsidRDefault="00677591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9E5">
        <w:rPr>
          <w:rFonts w:ascii="Times New Roman" w:eastAsia="Times New Roman" w:hAnsi="Times New Roman" w:cs="Times New Roman"/>
          <w:sz w:val="24"/>
          <w:szCs w:val="24"/>
        </w:rPr>
        <w:t>Vysvetlivky k použitým skratkám v tabu</w:t>
      </w:r>
      <w:r w:rsidR="00A6034C" w:rsidRPr="002D29E5">
        <w:rPr>
          <w:rFonts w:ascii="Times New Roman" w:eastAsia="Times New Roman" w:hAnsi="Times New Roman" w:cs="Times New Roman"/>
          <w:sz w:val="24"/>
          <w:szCs w:val="24"/>
        </w:rPr>
        <w:t>ľ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t>kách:</w:t>
      </w:r>
    </w:p>
    <w:p w:rsidR="00677591" w:rsidRPr="002D29E5" w:rsidRDefault="00677591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9E5">
        <w:rPr>
          <w:rFonts w:ascii="Times New Roman" w:eastAsia="Times New Roman" w:hAnsi="Times New Roman" w:cs="Times New Roman"/>
          <w:sz w:val="24"/>
          <w:szCs w:val="24"/>
        </w:rPr>
        <w:t>O – obyčajná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tab/>
        <w:t>A – akceptovaná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br/>
        <w:t>Z – zásadná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tab/>
        <w:t>N – neakceptovaná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ČA – čiastočne akceptovaná</w:t>
      </w:r>
      <w:r w:rsidRPr="002D29E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NEP – neprihliada sa</w:t>
      </w:r>
    </w:p>
    <w:p w:rsidR="007C1A93" w:rsidRPr="002D29E5" w:rsidRDefault="00E66622" w:rsidP="002D29E5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9E5">
        <w:rPr>
          <w:rFonts w:ascii="Times New Roman" w:eastAsia="Times New Roman" w:hAnsi="Times New Roman" w:cs="Times New Roman"/>
          <w:sz w:val="24"/>
          <w:szCs w:val="24"/>
        </w:rPr>
        <w:t>Vznesené pripomienky</w:t>
      </w:r>
    </w:p>
    <w:tbl>
      <w:tblPr>
        <w:tblW w:w="0" w:type="auto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296"/>
        <w:gridCol w:w="6480"/>
        <w:gridCol w:w="778"/>
        <w:gridCol w:w="2462"/>
      </w:tblGrid>
      <w:tr w:rsidR="000B16EA" w:rsidRPr="002D29E5" w:rsidTr="002D29E5">
        <w:trPr>
          <w:trHeight w:val="397"/>
          <w:jc w:val="center"/>
        </w:trPr>
        <w:tc>
          <w:tcPr>
            <w:tcW w:w="1944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Subjekt</w:t>
            </w:r>
          </w:p>
        </w:tc>
        <w:tc>
          <w:tcPr>
            <w:tcW w:w="1296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</w:t>
            </w:r>
          </w:p>
        </w:tc>
        <w:tc>
          <w:tcPr>
            <w:tcW w:w="6480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ind w:left="-21" w:firstLine="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Pripomienka</w:t>
            </w:r>
          </w:p>
        </w:tc>
        <w:tc>
          <w:tcPr>
            <w:tcW w:w="778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Vyh.</w:t>
            </w:r>
          </w:p>
        </w:tc>
        <w:tc>
          <w:tcPr>
            <w:tcW w:w="2462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Spôsob vyhodnotenia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MHSR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Ministerstvo hospodárstva Slovenskej republiky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Z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Analýze vplyvov na podnikateľské prostredie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Žiadame predkladateľa o dopracovanie Analýzy vplyvov na podnikateľské prostredie tak, aby boli vypustené údaje prvého bodu z tabuľky č. 2 v časti 3.1.2. Zároveň požadujeme upraviť Kalkulačku.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Odôvodnenie: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Popísané vplyvy ako aj predkladateľ uvádzajú nemožnosť kvantifikovať vplyvy, ktoré ani nespadajú do mechanizmu 1in2out. Preto je potrebné vypustiť požadované údaje z Analýzy vplyvov na podnikateľské prostredie a následne upraviť Kalkulačku tak, aby ostala prázdna, bez výpočtu.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Upravené podľa pripomienky.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Na základe tejto skutočnosti bol  po mailovej komunikácii rozpor odstránený.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MZSR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Ministerstvo zdravotníctva Slovenskej republiky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čl. I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 vlastnom materiáli čl. I odporúčame prehodnotiť a následne upraviť percentuálne navýšenie z 30 na 70 tak, aby toto množstvo zodpovedalo termínu malého množstva.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Odôvodnenie: Podľa čl. 1 ods. 3 nariadenia Európskeho parlamentu a Rady (ES) č. 853/2004 z 29 apríla 2004, ktorým sa ustanovujú osobitné hygienické predpisy pre potraviny živočíšneho pôvodu (ďalej len „nariadenie ES 853/2004“), toto nariadenie sa nevzťahuje na: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a) prvovýrobu na súkromné domáce použitie;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b) domácu prípravu, manipulovanie alebo skladovanie potravín na súkromnú domácu spotrebu;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c) priame dodávanie výrobcom malých množstiev prvotných produktov konečnému spotrebiteľovi alebo miestnym maloobchodným prevádzkarňam, ktoré priamo zásobujú konečného spotrebiteľa;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d) priame dodávanie zo strany výrobcu malých množstiev mäsa z hydiny a zajacovitých zabitých na farme konečnému spotrebiteľovi alebo miestnym maloobchodným prevádzkarňam, ktoré priamo dodávajú toto mäso konečnému spotrebiteľovi;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e) poľovníkov, ktorí dodávajú malé množstvá voľne žijúcej zveri alebo zveriny z voľne žijúcej zveri priamo končenému spotrebiteľovi alebo miestnym maloobchodným prevádzkarňam, ktoré ju priamo dodávajú konečnému spotrebiteľovi.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Podľa čl. 1 ods. 4 nariadenia ES 853/2004, členské štáty podľa vnútroštátneho práva ustanovia predpisy, ktorými sa upravia činnosti a osoby uvedené v odseku 3 písm. c), d) a e). Tieto vnútroštátne predpisy musia zabezpečiť dosiahnutie cieľov tohto nariadenia.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Uvedeným návrhom ide o skokovité navýšenie množstva tiel voľne žijúcej zveri skutočne ulovenej v poľovnom revíri ročne, ktoré je možné predať konečnému spotrebiteľovi alebo dodať do miestnej maloobchodnej prevádzkarne, ktorá priamo zásobuje konečného spotrebiteľa z terajších 30 % na 70 %. Z hľadiska ochrany zdravia je predmetné navýšenie problematické, nakoľko v tomto prípade, nie je potrebné vykonanie veterinárnej prehliadky ulovenej zveri, ktorá je nahradená prehliadkou vykonanou vyškolenou osobou. Uvedeným návrhom môže dôjsť k deformácií pravidiel týkajúcich sa potravinového práva, bezpečnosti potravín a možný rozpor s právom EÚ vzhľadom na požiadavku na úpravu len priameho dodávania malého množstva ako ustanovuje čl. 1 ods. 4 nariadenia ES 853/2004.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ČA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 základe vznesenej pripomienke predkladateľ prehodnotil navýšenie percentuálneho  množstva tiel voľne žijúcej zveri skutočne ulovenej v poľovnom revíri ročne, ktoré je možné predať konečnému spotrebiteľovi alebo dodať do miestnej maloobchodnej prevádzkarne na 50 %, namiesto pôvodne navrhovaných70 %.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OAPSVLÚVSR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Odbor aproximácie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práva sekcie vládnej legislatívy Úradu vlády SR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 doložke zlučiteľnosti: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K bodu 3 písm. b): Žiadame predkladateľa, aby publikačný zdroj nariadenia (EÚ) 2017/625 v platnom znení uvádzal v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súlade s bodom 62.9. prílohy č. 1 k Legislatívnym pravidlám vlády Slovenskej republiky a to nasledovne: „(Ú. v. EÚ L 95, 7.4.2017)“.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Ustanovenie upravené v zmysle pripomienky.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OAPSVLÚVSR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Odbor aproximácie práva sekcie vládnej legislatívy Úradu vlády SR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 doložke zlučiteľnosti: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K bodu 3 písm. b): Žiadame predkladateľa, aby v bode 3 písm. b) uvádzal aj nariadenie Európskeho parlamentu a Rady (ES) č. 853/2004 z 29. apríla 2004, ktorým sa ustanovujú osobitné hygienické predpisy pre potraviny živočíšneho pôvodu (Ú. v. EÚ L 139, 30.4.2004) v platnom znení, vzhľadom na to, že príloha III oddiel IV kapitola I k nariadeniu (ES) č. 853/2004 v platnom znení ustanovuje špecifické požiadavky pre dodávanie malého množstva ulovenej voľne žijúcej zveri alebo zveriny, ktoré môže užívateľ poľovného revíru priamo predať konečnému spotrebiteľovi alebo dodať do miestnej maloobchodnej prevádzkarne.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Upravené podľa pripomienky.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OAPSVLÚVSR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Odbor aproximácie práva sekcie vládnej legislatívy Úradu vlády SR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 všeobecnej časti dôvodovej správy: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 všeobecnej časti dôvodovej správy predkladateľ uvádza, že návrh nariadenia vlády je predmetom vnútrokomunitárneho pripomienkového konania. Žiadame predkladateľa, aby v súlade s čl. 20 ods. 2 posledná veta Legislatívnych pravidiel vlády Slovenskej republiky vo všeobecnej časti dôvodovej správy uviedol taktiež informácie o dátume začatia tohto vnútrokomunitárneho pripomienkového konania spolu s jeho číslom.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ČA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Keďže predkladateľ predpokladá predloženie návrhu nariadenia vlády do vnútrokomunitárneho pripomienkového konania až po jeho prerokovaní v poradných orgánoch vlády, toho času nie je možné uviesť dátum predloženia návrhu nariadenia vlády na vnutrokomunitárne pripomienkové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konanie a číslo tohto konania.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Po predložení návrhu nariadenia vlády do  vnútrokomunitárneho pripomienkového konania informácie do všeobecnej časti dôvodovej správy doplníme.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PKS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Potravinárska komora Slovenska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Celému materiálu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ZÁSADNÁ PRIPOMIENKA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Potravinárska komora Slovenska nesúhlasí s predloženým legislatívnym návrhom, konkrétne navýšením % množstvo tiel voľne žijúcej zveri skutočne ulovenej v poľovnom revíri ročne, ktoré je možné predať konečnému spotrebiteľovi alebo dodať do miestnej maloobchodnej prevádzkarne, ktorá priamo zásobuje konečného spotrebiteľa. Jedná sa o navýšenie na úrovni 133 % (t.zn. z terajších 30 % na 70 % z množstva odlovenej voľne žijúcej zveri). Predmetné navýšenie z pohľadu bezpečnosti potravín zvyšuje riziko ohrozenia zdravia konečného spotrebiteľa. V takomto prípade nie je zdravotná prehliadka vykonaná pracovníkmi veterinárnej správy, ale je nahradená prehliadkou vyškolenou osobou. Nastavený množstevný parameter nestanovuje konkrétnu max. hodnotu napr. v dobytčích jednotkách tak ako je to napr. u bitúnkov alebo rozrábok. To v prípade zvyšujúceho sa množstva odlovenej zveriny bude znamenať aj zvýšené množstvo zveriny umiestnenej na trh a bez absencie riadnej zdravotnej prehliadky vykonanej pracovníkmi veterinárnej správy  zvýšené zdravotné riziko pre konečného spotrebiteľa. V nadväznosti na vyššie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uvedené Potravinárska komora Slovenska navrhuje zadefinovať do Návrhu nariadenia vlády Slovenskej republiky, ktorým sa mení nariadenie vlády Slovenskej republiky č. 359/2011 Z. z., ktorým sa ustanovujú požiadavky na niektoré potravinárske prevádzkarne a na malé množstvá konkrétne množstvo dobytčích jednotiek zveriny /týždenne, ktoré bude možné uviesť v rámci minimálnych množstiev na trh. Zároveň navrhujeme doplniť do § 2 ods. 4 konkrétny postup pre prepočet dobytčích jednotiek pre zverinu, nakoľko ods. 5 daného paragrafu sa na ods. 4 pre tento účel odvoláva.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ČA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 základe vznesenej zásadnej pripomienky predkladateľ prehodnotil navýšenie percentuálneho  množstva tiel voľne žijúcej zveri skutočne ulovenej v poľovnom revíri ročne, ktoré je možné predať konečnému spotrebiteľovi alebo dodať do miestnej maloobchodnej prevádzkarne na 50 %, namiesto pôvodne navrhovaných70 %.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Pokiaľ ide o doplnenie do § 2 ods. 4 citovaného nariadenia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vlády o konkrétny postup pre prepočet dobytčích jednotiek pre zverinu, v budúcnosti sa nebránime vloženiu tejto úpravy do nariadenia vlády, avšak materiál bol do MPK predkladaný v pomerne malom rozsahu úpravy (jeden novelizačný bod), ktorý sa po MPK rozšíril o ďalšie formálne úpravy. Ak by sme do vlastného materiálu vkladali ďalšie novelizačné body normatívneho charakteru, mohlo by dôjsť k rozporom s poradnými orgánmi vlády. Taktiež je z nášho pohľadu dôležité časové hľadisko, nakoľko príprava legislatívy v takto odbornej otázke by trvala niekoľko mesiacov, pričom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navrhovaná účinnosť novely nariadenia vlády SR sa predpokladá k 1. januáru 2026.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Na základe týchto skutočností bol po vysvetlení na základe mailovej komunikácie rozpor odstránený.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SPPK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Slovenská poľnohospodárska a potravinárska komora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§ 8 ods. 2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 § 8 ods.2 pís. b) bod 1 navrhujeme za "10 000 ks hydiny" doplniť slová: určenej na jatočné spracovanie".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Odôvodnenie: Drobné registrované prevádzky, hlavne v jarných mesiacoch hydinu aj tepelne odchovávajú na takzvaný ďalší prídvorový výkrm ďalším chovateľom a nevykrmujú ju až do jatočných hmotností. Podľa CEHZ aj charakter chovu na takúto hydinu je: U 04.  Počty takejto hydiny výrazne ďalej obmedzujú celkové súčasné povolené číslo 10 000 ks hydiny.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Upravené v zmysle pripomienky.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SZSM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Slovenský zväz spracovateľov mäsa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§ 9 ods. 1 zásadná pripomienka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Zásadná pripomienka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Slovenský zväz spracovateľov mäsa zásadne nesúhlasí s predloženým legislatívnym návrhom.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Legislatívny návrh navrhuje navýšiť % množstvo tiel voľne žijúcej zveri skutočne ulovenej v poľovnom revíri ročne, ktoré je možné predať konečnému spotrebiteľovi alebo dodať do miestnej maloobchodnej prevádzkarne, ktorá priamo zásobuje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konečného spotrebiteľa. Jedná sa o navýšenie na úrovni 133% (t.j z terajších 30 % na 70 % z množstva odlovenej voľne žijúcej zveri).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Predmetné navýšenie z pohľadu bezpečnosti potravín zvyšuje riziko ohrozenia zdravia konečného spotrebiteľa, nakoľko v takomto prípade nie je je zdravotná prehliadka vykonaná pracovníkmi veterinárnej správy, ale je nahradená prehliadkou ktorú vykonáva vyškolená osoba. Nastavený množtevný parameter zároveň nestanovuje konkrétnu max. hodnotu napr. v dobytčích jednotkách tak ako je to napr. u bitúnkov alebo rozrábok, čo v prípade zvyšujúceho sa množstva odlovenej zveriny bude zároveň znamenať aj zvýšené množstvo zveriny umiestnenej na trh čo bude znamenať zvýšené zdravotné riziko pre konečného spotrebiteľa.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V nadväznosti na vyššie uvedené Slovenský zväz spracovateľov navrhuje zadefinovať do Návrh nariadenia vlády Slovenskej republiky, ktorým sa mení nariadenie vlády Slovenskej republiky č. 359/2011 Z. z., ktorým sa ustanovujú požiadavky na niektoré potravinárske prevádzkarne a na malé množstvá konkrétne množstvo dobytčích  jednotiek zveriny /týždenne, ktoré bude možné uviesť v rámci minimálnych množstiev na trh a zároveň doplniť do par.2, ods. 4 konkrétny postup pre prepočet dobytčích jednotiek pre zverinu, nakoľko ods.5 sa na ods.4 pre tento účel odvoláva.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ČA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 základe vznesenej zásadnej pripomienky predkladateľ prehodnotil navýšenie percentuálneho  množstva tiel voľne žijúcej zveri skutočne ulovenej v poľovnom revíri ročne, ktoré je možné predať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konečnému spotrebiteľovi alebo dodať do miestnej maloobchodnej prevádzkarne na 50 %, namiesto pôvodne navrhovaných70 %.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Pokiaľ ide o doplnenie do § 2 ods. 4 citovaného nariadenia vlády o konkrétny postup pre prepočet dobytčích jednotiek pre zverinu, v budúcnosti sa nebránime vloženiu tejto úpravy do nariadenia vlády, avšak materiál bol do MPK predkladaný v pomerne malom rozsahu úpravy (jeden novelizačný bod), ktorý sa po MPK rozšíril o ďalšie formálne úpravy. Ak by sme do vlastného materiálu vkladali ďalšie novelizačné body normatívneho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charakteru, mohlo by dôjsť k rozporom s poradnými orgánmi vlády. Taktiež je z nášho pohľadu dôležité časové hľadisko, nakoľko príprava legislatívy v takto odbornej otázke by trvala niekoľko mesiacov, pričom navrhovaná účinnosť novely nariadenia vlády SR sa predpokladá k 1. januáru 2026.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Na základe týchto skutočností bol po vysvetlení na základe mailovej komunikácie rozpor odstránený.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ÚNMSSR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Úrad pre normalizáciu,  metrológiu a skúšobníctvo Slovenskej republiky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Nad rámec vlastného materiálu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Podľa dôvodovej správy - všeobecnej časti bude návrh nariadenia vlády Slovenskej republiky, ktorým sa mení nariadenie vlády Slovenskej republiky č. 359/2011 Z. z., ktorým sa ustanovujú požiadavky na niektoré potravinárske prevádzkarne a na malé množstvá (ďalej len „návrh nariadenia vlády SR“) predmetom vnútrokomunitárneho pripomienkového konania (ďalej len „VPK“). Vzhľadom na to, že návrhy právnych predpisov a aj ich novely predkladané do VPK majú v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záverečných ustanoveniach obsahovať odkaz na smernicu (EÚ) 2015/1535, ktorou sa stanovuje postup pri poskytovaní informácií v oblasti technických predpisov a pravidiel vzťahujúcich sa na služby informačnej spoločnosti (ďalej len „smernica (EÚ) 2015/1535“), navrhujeme do návrhu nariadenia vlády SR doplniť v súlade s čl. 5 ods. 3 Legislatívnych pravidiel vlády Slovenskej republiky informáciu o tom, že návrh nariadenia vlády SR bol prijatý v súlade s právne záväzným aktom Európskej únie v oblasti technických predpisov, ktorým je smernica (EÚ) 2015/1535. Odôvodnenie je súčasťou pripomienky.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Ustanovenie upravené podľa pripomienky.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1944" w:type="dxa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ÚNMSSR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Úrad pre normalizáciu,  metrológiu a skúšobníctvo Slovenskej republiky</w:t>
            </w:r>
          </w:p>
        </w:tc>
        <w:tc>
          <w:tcPr>
            <w:tcW w:w="1296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6480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Nad rámec vlastného materiálu</w:t>
            </w: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 § 2 nariadenia vlády Slovenskej republiky, ktorým sa mení nariadenie vlády Slovenskej republiky č. 359/2011 Z. z., ktorým sa ustanovujú požiadavky na niektoré potravinárske prevádzkarne a na malé množstvá (ďalej len "nariadenie vlády SR") navrhujeme doplniť nový odsek 6 v nasledovnom znení: "Teplota mäsa ustanovená v tomto nariadení vlády sa meria povinne kalibrovaným meradlomx).", pričom poznámka pod čiarou k odkazu x) by znela: "§ 17 zákona č. 157/2018 Z. z. o metrológii a o zmene a doplnení niektorých zákonov v znení zákona č. 58/2022 Z. z.". Odôvodnenie: Nariadenie vlády SR ustanovuje teploty mäsa, čím sa nepriamo ukladá povinnosť merať ustanovenú teplotu, pretože bez merania teploty nie je možné dodržať ustanovenia tohto nariadenia vlády SR o teplote mäsa. Vzhľadom na to, že na daný účel merania teploty nie je podľa zákona č. 157/2018 Z. z. o metrológii a o zmene a doplnení niektorých zákonov v znení neskorších predpisov (ďalej len „zákon o metrológii“) v skupine určených meradiel vhodné určené meradlo, pričom z predmetného osobitného predpisu vyplýva, že sa má meranie vykonávať, podľa § 17 ods. 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zákona o metrológii je povinnosťou použiť povinne kalibrované meradlo. ÚNMS SR má tak za to, že je vhodné uviesť odkaz na príslušné ustanovenie zákona o metrológii, ktoré ustanovuje všeobecný rámec používania povinne kalibrovaných meradiel. Zároveň sme toho názoru, že precizovanie predmetného nariadenia vlády SR v oblasti používania povinne kalibrovaných meradiel bude mať pozitívny vplyv na zachovanie zdravotnej bezpečnosti a kvality mäsa tak, ako to vyplýva z predkladacej a dôvodovej správy k uvedenému materiálu.</w:t>
            </w:r>
          </w:p>
        </w:tc>
        <w:tc>
          <w:tcPr>
            <w:tcW w:w="778" w:type="dxa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</w:t>
            </w:r>
          </w:p>
        </w:tc>
        <w:tc>
          <w:tcPr>
            <w:tcW w:w="2462" w:type="dxa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Predkladateľ chápe dôvod vznesenia pripomienky, avšak vzhľadom na predmet úpravy nariadenia vlády nie je podľa nášho názoru  možné a odôvodnené pri tzv. malých množstvách požadovať od bežných fyzických osôb používanie povinne kalibrovaného meradla. Súčasná právna úprava je v tomto smere plne vyhovujúca.</w:t>
            </w:r>
          </w:p>
        </w:tc>
      </w:tr>
    </w:tbl>
    <w:p w:rsidR="000B2D78" w:rsidRPr="002D29E5" w:rsidRDefault="000B2D78" w:rsidP="002D29E5">
      <w:pPr>
        <w:widowControl w:val="0"/>
        <w:spacing w:after="0" w:line="240" w:lineRule="auto"/>
        <w:rPr>
          <w:rFonts w:ascii="Times New Roman" w:hAnsi="Times New Roman" w:cs="Times New Roman"/>
          <w:sz w:val="10"/>
          <w:szCs w:val="24"/>
        </w:rPr>
      </w:pPr>
    </w:p>
    <w:p w:rsidR="00E66622" w:rsidRPr="002D29E5" w:rsidRDefault="00E66622" w:rsidP="002D29E5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2D29E5">
        <w:rPr>
          <w:rFonts w:ascii="Times New Roman" w:eastAsia="Times New Roman" w:hAnsi="Times New Roman" w:cs="Times New Roman"/>
          <w:sz w:val="24"/>
          <w:szCs w:val="24"/>
        </w:rPr>
        <w:t>Vznesené hromadné pripomienky</w:t>
      </w:r>
    </w:p>
    <w:tbl>
      <w:tblPr>
        <w:tblW w:w="0" w:type="auto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296"/>
        <w:gridCol w:w="6480"/>
        <w:gridCol w:w="778"/>
        <w:gridCol w:w="2462"/>
      </w:tblGrid>
      <w:tr w:rsidR="000B16EA" w:rsidRPr="002D29E5" w:rsidTr="00343965">
        <w:trPr>
          <w:trHeight w:val="648"/>
          <w:jc w:val="center"/>
        </w:trPr>
        <w:tc>
          <w:tcPr>
            <w:tcW w:w="1944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Subjekt</w:t>
            </w:r>
          </w:p>
        </w:tc>
        <w:tc>
          <w:tcPr>
            <w:tcW w:w="1296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Podporo-</w:t>
            </w: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vatelia</w:t>
            </w:r>
          </w:p>
        </w:tc>
        <w:tc>
          <w:tcPr>
            <w:tcW w:w="6480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Pripomienka</w:t>
            </w:r>
          </w:p>
        </w:tc>
        <w:tc>
          <w:tcPr>
            <w:tcW w:w="778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Vyh.</w:t>
            </w:r>
          </w:p>
        </w:tc>
        <w:tc>
          <w:tcPr>
            <w:tcW w:w="2462" w:type="dxa"/>
            <w:vAlign w:val="center"/>
          </w:tcPr>
          <w:p w:rsidR="000B16EA" w:rsidRPr="002D29E5" w:rsidRDefault="000B16EA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Spôsob vyhodnotenia</w:t>
            </w:r>
          </w:p>
        </w:tc>
      </w:tr>
      <w:tr w:rsidR="00AD51F0" w:rsidRPr="002D29E5" w:rsidTr="00AD51F0">
        <w:trPr>
          <w:trHeight w:val="648"/>
          <w:jc w:val="center"/>
        </w:trPr>
        <w:tc>
          <w:tcPr>
            <w:tcW w:w="12960" w:type="dxa"/>
            <w:gridSpan w:val="5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 materiálu neboli pridané hromadné pripomienky.</w:t>
            </w:r>
          </w:p>
        </w:tc>
      </w:tr>
    </w:tbl>
    <w:p w:rsidR="00E66622" w:rsidRPr="002D29E5" w:rsidRDefault="00E66622" w:rsidP="002D29E5">
      <w:pPr>
        <w:widowControl w:val="0"/>
        <w:spacing w:after="0"/>
        <w:rPr>
          <w:rFonts w:ascii="Times New Roman" w:hAnsi="Times New Roman" w:cs="Times New Roman"/>
          <w:sz w:val="10"/>
          <w:szCs w:val="24"/>
        </w:rPr>
      </w:pPr>
    </w:p>
    <w:p w:rsidR="00677591" w:rsidRPr="002D29E5" w:rsidRDefault="00677591" w:rsidP="002D29E5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  <w:r w:rsidRPr="002D29E5">
        <w:rPr>
          <w:rFonts w:ascii="Times New Roman" w:hAnsi="Times New Roman" w:cs="Times New Roman"/>
          <w:sz w:val="24"/>
          <w:szCs w:val="24"/>
        </w:rPr>
        <w:t>Sumarizácia vznesených pripomienok pod</w:t>
      </w:r>
      <w:r w:rsidRPr="002D29E5">
        <w:rPr>
          <w:rFonts w:ascii="Times New Roman" w:hAnsi="Times New Roman" w:cs="Times New Roman"/>
          <w:sz w:val="24"/>
          <w:szCs w:val="24"/>
          <w:lang w:val="en-US"/>
        </w:rPr>
        <w:t>ľa subjektov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6711"/>
        <w:gridCol w:w="1550"/>
        <w:gridCol w:w="1550"/>
        <w:gridCol w:w="1537"/>
        <w:gridCol w:w="1096"/>
      </w:tblGrid>
      <w:tr w:rsidR="00634468" w:rsidRPr="002D29E5" w:rsidTr="002D29E5">
        <w:trPr>
          <w:trHeight w:val="397"/>
          <w:jc w:val="center"/>
        </w:trPr>
        <w:tc>
          <w:tcPr>
            <w:tcW w:w="178" w:type="pct"/>
            <w:tcBorders>
              <w:right w:val="single" w:sz="2" w:space="0" w:color="auto"/>
            </w:tcBorders>
            <w:vAlign w:val="center"/>
          </w:tcPr>
          <w:p w:rsidR="00634468" w:rsidRPr="002D29E5" w:rsidRDefault="00634468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</w:t>
            </w:r>
          </w:p>
        </w:tc>
        <w:tc>
          <w:tcPr>
            <w:tcW w:w="275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34468" w:rsidRPr="002D29E5" w:rsidRDefault="00A80C4C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Subjekt</w:t>
            </w:r>
          </w:p>
        </w:tc>
        <w:tc>
          <w:tcPr>
            <w:tcW w:w="613" w:type="pct"/>
            <w:tcBorders>
              <w:left w:val="single" w:sz="2" w:space="0" w:color="auto"/>
            </w:tcBorders>
            <w:vAlign w:val="center"/>
          </w:tcPr>
          <w:p w:rsidR="00634468" w:rsidRPr="002D29E5" w:rsidRDefault="00A80C4C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Pripomienky do termínu</w:t>
            </w:r>
          </w:p>
        </w:tc>
        <w:tc>
          <w:tcPr>
            <w:tcW w:w="613" w:type="pct"/>
            <w:vAlign w:val="center"/>
          </w:tcPr>
          <w:p w:rsidR="00634468" w:rsidRPr="002D29E5" w:rsidRDefault="00A80C4C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Pripomienky po termíne</w:t>
            </w:r>
          </w:p>
        </w:tc>
        <w:tc>
          <w:tcPr>
            <w:tcW w:w="486" w:type="pct"/>
            <w:vAlign w:val="center"/>
          </w:tcPr>
          <w:p w:rsidR="00634468" w:rsidRPr="002D29E5" w:rsidRDefault="00634468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Nemali pripomienky</w:t>
            </w:r>
          </w:p>
        </w:tc>
        <w:tc>
          <w:tcPr>
            <w:tcW w:w="486" w:type="pct"/>
            <w:vAlign w:val="center"/>
          </w:tcPr>
          <w:p w:rsidR="00634468" w:rsidRPr="002D29E5" w:rsidRDefault="00A80C4C" w:rsidP="002D29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Vôbec neza</w:t>
            </w:r>
            <w:r w:rsidR="0001352E" w:rsidRPr="002D2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slali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APZD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Asociácia priemyselných zväzov a dopravy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AZZZ 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Asociácia zamestnávatelských zväzov a združení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BBSK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Banskobystrický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BRATISLAVSKÝ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GPSR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Generálna prokuratúra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KBS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Konferencia biskupov Slovenska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KOZSR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Konfederácia odborových zväzov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Košický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Klub 500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Klub 500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MDSR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dopravy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MFSR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financií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MHSR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hospodárstva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(0o, 1z)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MINCRS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cestovného ruchu a športu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MIRRI 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investícií, regionálneho rozvoja a informatizácie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MKSR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kultúry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MOSR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obrany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MPRVSR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pôdohospodárstva a rozvoja vidieka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MPSVRSR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práce, sociálnych vecí a rodiny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MSSR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spravodlivosti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MVSR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vnútra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MZSR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zdravotníctva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(1o,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MZVEZ 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zahraničných vecí a európskych záležitostí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MŠVVaMSR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školstva,výskumu,vývoja a mládeže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MŽPSR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Ministerstvo životného prostredia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NBS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Národná banka Slovenska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NBÚ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Národný bezpečnostný úrad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NKÚSR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Najvyšší kontrolný úrad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Nitriansky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NSSR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Najvyšší súd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OAPSVLÚVSR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Odbor aproximácie práva sekcie vládnej legislatívy Úradu vlády SR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(3o,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PKS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Potravinárska komora Slovenska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(1o,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PMÚSR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Protimonopolný úrad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Prešovský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RÚZSR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Republiková únia zamestnávateľov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SK8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Samosprávne kraje Slovenska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SPPK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Slovenská poľnohospodárska a potravinárska komora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(1o,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SVSLPRK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Splnomocnenec vlády Slovenskej republiky pre rómske komunity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SZSM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Slovenský zväz spracovateľov mäsa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(1o,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SŠHRSR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Správa štátnych hmotných rezerv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Trenčiansky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Trnavský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UOOU 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na ochranu osobných údajov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UPVSR POaZE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podpredsedu vlády Slovenskej republiky pre Plán obnovy a znalostnú ekonomiku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URSO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pre reguláciu sieťových odvetví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UpUPaVSR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pre územné plánovanie a výstavbu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ZMOS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Združenie miest a obcí Slovenska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hlavné mesto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Hlavné mesto Slovenskej republiky Bratislava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ÚDZS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pre dohľad nad zdravotnou starostlivosťou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ÚGKKSR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geodézie, kartografie a katastra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ÚJDSR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jadrového dozoru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ÚMS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Únia miest Slovenska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ÚNMSSR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pre normalizáciu,  metrológiu a skúšobníctvo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(2o,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ÚPVSR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priemyselného vlastníctva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ÚVO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pre verejné obstarávanie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ÚVSR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Úrad vlády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Ústavný súd 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Kancelária Ústavného súdu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ŠÚSR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Štatistický úrad Slovenskej republiky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ŽSK</w:t>
            </w: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Žilinský samosprávny kraj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24981" w:rsidRPr="002D29E5" w:rsidTr="002D29E5">
        <w:trPr>
          <w:trHeight w:val="397"/>
          <w:jc w:val="center"/>
        </w:trPr>
        <w:tc>
          <w:tcPr>
            <w:tcW w:w="0" w:type="auto"/>
          </w:tcPr>
          <w:p w:rsidR="00C24981" w:rsidRPr="002D29E5" w:rsidRDefault="00C24981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Spolu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 (9o, 1z)</w:t>
            </w:r>
          </w:p>
        </w:tc>
        <w:tc>
          <w:tcPr>
            <w:tcW w:w="0" w:type="auto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(0o, 0z)</w:t>
            </w:r>
          </w:p>
        </w:tc>
        <w:tc>
          <w:tcPr>
            <w:tcW w:w="0" w:type="auto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C24981" w:rsidRPr="002D29E5" w:rsidRDefault="00077906" w:rsidP="002D29E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</w:tbl>
    <w:p w:rsidR="008960F8" w:rsidRPr="002D29E5" w:rsidRDefault="008960F8" w:rsidP="002D29E5">
      <w:pPr>
        <w:widowControl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960F8" w:rsidRPr="002D29E5" w:rsidSect="002D29E5">
      <w:footerReference w:type="default" r:id="rId7"/>
      <w:footerReference w:type="first" r:id="rId8"/>
      <w:pgSz w:w="15840" w:h="12240" w:orient="landscape"/>
      <w:pgMar w:top="851" w:right="1440" w:bottom="851" w:left="1440" w:header="720" w:footer="4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906" w:rsidRPr="00785E8D" w:rsidRDefault="00077906" w:rsidP="00E66622">
      <w:pPr>
        <w:spacing w:after="0" w:line="240" w:lineRule="auto"/>
      </w:pPr>
      <w:r w:rsidRPr="00785E8D">
        <w:separator/>
      </w:r>
    </w:p>
  </w:endnote>
  <w:endnote w:type="continuationSeparator" w:id="0">
    <w:p w:rsidR="00077906" w:rsidRPr="00785E8D" w:rsidRDefault="00077906" w:rsidP="00E66622">
      <w:pPr>
        <w:spacing w:after="0" w:line="240" w:lineRule="auto"/>
      </w:pPr>
      <w:r w:rsidRPr="00785E8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1703826"/>
      <w:docPartObj>
        <w:docPartGallery w:val="Page Numbers (Bottom of Page)"/>
        <w:docPartUnique/>
      </w:docPartObj>
    </w:sdtPr>
    <w:sdtContent>
      <w:p w:rsidR="002D29E5" w:rsidRDefault="002D29E5" w:rsidP="002D29E5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091464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62D69" w:rsidRPr="003E3F51" w:rsidRDefault="00362D69">
        <w:pPr>
          <w:pStyle w:val="Pta"/>
          <w:jc w:val="center"/>
          <w:rPr>
            <w:rFonts w:ascii="Times New Roman" w:hAnsi="Times New Roman" w:cs="Times New Roman"/>
          </w:rPr>
        </w:pPr>
        <w:r w:rsidRPr="003E3F51">
          <w:rPr>
            <w:rFonts w:ascii="Times New Roman" w:hAnsi="Times New Roman" w:cs="Times New Roman"/>
            <w:noProof w:val="0"/>
          </w:rPr>
          <w:fldChar w:fldCharType="begin"/>
        </w:r>
        <w:r w:rsidRPr="003E3F51">
          <w:rPr>
            <w:rFonts w:ascii="Times New Roman" w:hAnsi="Times New Roman" w:cs="Times New Roman"/>
          </w:rPr>
          <w:instrText xml:space="preserve"> PAGE   \* MERGEFORMAT </w:instrText>
        </w:r>
        <w:r w:rsidRPr="003E3F51">
          <w:rPr>
            <w:rFonts w:ascii="Times New Roman" w:hAnsi="Times New Roman" w:cs="Times New Roman"/>
            <w:noProof w:val="0"/>
          </w:rPr>
          <w:fldChar w:fldCharType="separate"/>
        </w:r>
        <w:r w:rsidRPr="003E3F51">
          <w:rPr>
            <w:rFonts w:ascii="Times New Roman" w:hAnsi="Times New Roman" w:cs="Times New Roman"/>
          </w:rPr>
          <w:t>2</w:t>
        </w:r>
        <w:r w:rsidRPr="003E3F51">
          <w:rPr>
            <w:rFonts w:ascii="Times New Roman" w:hAnsi="Times New Roman" w:cs="Times New Roman"/>
          </w:rPr>
          <w:fldChar w:fldCharType="end"/>
        </w:r>
      </w:p>
    </w:sdtContent>
  </w:sdt>
  <w:p w:rsidR="00362D69" w:rsidRDefault="00362D69" w:rsidP="00FD38D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906" w:rsidRPr="00785E8D" w:rsidRDefault="00077906" w:rsidP="00E66622">
      <w:pPr>
        <w:spacing w:after="0" w:line="240" w:lineRule="auto"/>
      </w:pPr>
      <w:r w:rsidRPr="00785E8D">
        <w:separator/>
      </w:r>
    </w:p>
  </w:footnote>
  <w:footnote w:type="continuationSeparator" w:id="0">
    <w:p w:rsidR="00077906" w:rsidRPr="00785E8D" w:rsidRDefault="00077906" w:rsidP="00E66622">
      <w:pPr>
        <w:spacing w:after="0" w:line="240" w:lineRule="auto"/>
      </w:pPr>
      <w:r w:rsidRPr="00785E8D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93"/>
    <w:rsid w:val="00011D51"/>
    <w:rsid w:val="0001352E"/>
    <w:rsid w:val="00047E84"/>
    <w:rsid w:val="00050137"/>
    <w:rsid w:val="0006133B"/>
    <w:rsid w:val="00077906"/>
    <w:rsid w:val="000A2F5F"/>
    <w:rsid w:val="000B16EA"/>
    <w:rsid w:val="000B2D78"/>
    <w:rsid w:val="000C172E"/>
    <w:rsid w:val="000D3CA3"/>
    <w:rsid w:val="000D5402"/>
    <w:rsid w:val="001228AD"/>
    <w:rsid w:val="00131490"/>
    <w:rsid w:val="00131742"/>
    <w:rsid w:val="001433FA"/>
    <w:rsid w:val="00146A7D"/>
    <w:rsid w:val="00176679"/>
    <w:rsid w:val="0019276A"/>
    <w:rsid w:val="001B1BE3"/>
    <w:rsid w:val="001D2B4E"/>
    <w:rsid w:val="001E50FA"/>
    <w:rsid w:val="001E6254"/>
    <w:rsid w:val="001F2C94"/>
    <w:rsid w:val="001F5D28"/>
    <w:rsid w:val="001F777F"/>
    <w:rsid w:val="00215E64"/>
    <w:rsid w:val="00231554"/>
    <w:rsid w:val="00237490"/>
    <w:rsid w:val="00245F36"/>
    <w:rsid w:val="0026614F"/>
    <w:rsid w:val="002715E0"/>
    <w:rsid w:val="00273DAE"/>
    <w:rsid w:val="0029170C"/>
    <w:rsid w:val="00295E6A"/>
    <w:rsid w:val="002A0A58"/>
    <w:rsid w:val="002A4482"/>
    <w:rsid w:val="002D29E5"/>
    <w:rsid w:val="002D3B5E"/>
    <w:rsid w:val="002E17D6"/>
    <w:rsid w:val="002F4660"/>
    <w:rsid w:val="002F717D"/>
    <w:rsid w:val="003034A4"/>
    <w:rsid w:val="00303CA7"/>
    <w:rsid w:val="00335FFB"/>
    <w:rsid w:val="00343965"/>
    <w:rsid w:val="00362D69"/>
    <w:rsid w:val="003640A5"/>
    <w:rsid w:val="003A59FA"/>
    <w:rsid w:val="003C31D4"/>
    <w:rsid w:val="003E3F51"/>
    <w:rsid w:val="003E641E"/>
    <w:rsid w:val="003E7146"/>
    <w:rsid w:val="003F1216"/>
    <w:rsid w:val="003F37C1"/>
    <w:rsid w:val="004050CF"/>
    <w:rsid w:val="00405348"/>
    <w:rsid w:val="00434080"/>
    <w:rsid w:val="00461B69"/>
    <w:rsid w:val="0048545F"/>
    <w:rsid w:val="004A12EE"/>
    <w:rsid w:val="004A48F0"/>
    <w:rsid w:val="004A62B8"/>
    <w:rsid w:val="004B4188"/>
    <w:rsid w:val="004C6C3C"/>
    <w:rsid w:val="004E0BF7"/>
    <w:rsid w:val="004F10FF"/>
    <w:rsid w:val="004F4092"/>
    <w:rsid w:val="00500EBD"/>
    <w:rsid w:val="00506E0B"/>
    <w:rsid w:val="00511A3C"/>
    <w:rsid w:val="00513767"/>
    <w:rsid w:val="005146CA"/>
    <w:rsid w:val="005259A1"/>
    <w:rsid w:val="0053699B"/>
    <w:rsid w:val="00550D13"/>
    <w:rsid w:val="00583F11"/>
    <w:rsid w:val="0059287B"/>
    <w:rsid w:val="005B618C"/>
    <w:rsid w:val="005C0A7E"/>
    <w:rsid w:val="005C4CF5"/>
    <w:rsid w:val="005E6A45"/>
    <w:rsid w:val="005F3B1C"/>
    <w:rsid w:val="005F3E6F"/>
    <w:rsid w:val="005F5908"/>
    <w:rsid w:val="00602231"/>
    <w:rsid w:val="006031E3"/>
    <w:rsid w:val="00634468"/>
    <w:rsid w:val="006371D1"/>
    <w:rsid w:val="00641DD8"/>
    <w:rsid w:val="006434AC"/>
    <w:rsid w:val="00664F3B"/>
    <w:rsid w:val="00677591"/>
    <w:rsid w:val="00695857"/>
    <w:rsid w:val="006C2D6E"/>
    <w:rsid w:val="006D051F"/>
    <w:rsid w:val="0070694E"/>
    <w:rsid w:val="00707B3A"/>
    <w:rsid w:val="0072062B"/>
    <w:rsid w:val="00724A0E"/>
    <w:rsid w:val="00726A34"/>
    <w:rsid w:val="00727704"/>
    <w:rsid w:val="00745443"/>
    <w:rsid w:val="00754CB0"/>
    <w:rsid w:val="0077472A"/>
    <w:rsid w:val="00774ED8"/>
    <w:rsid w:val="00776E62"/>
    <w:rsid w:val="00784062"/>
    <w:rsid w:val="00785E8D"/>
    <w:rsid w:val="00796E02"/>
    <w:rsid w:val="00796EBE"/>
    <w:rsid w:val="007C1A93"/>
    <w:rsid w:val="007C678D"/>
    <w:rsid w:val="007E7C38"/>
    <w:rsid w:val="007E7E01"/>
    <w:rsid w:val="007F53D4"/>
    <w:rsid w:val="0084532B"/>
    <w:rsid w:val="0087153C"/>
    <w:rsid w:val="008741FE"/>
    <w:rsid w:val="00876D47"/>
    <w:rsid w:val="008960F8"/>
    <w:rsid w:val="008C2612"/>
    <w:rsid w:val="008C63F3"/>
    <w:rsid w:val="008D299D"/>
    <w:rsid w:val="008E0404"/>
    <w:rsid w:val="008F1FF3"/>
    <w:rsid w:val="00913D14"/>
    <w:rsid w:val="00917A99"/>
    <w:rsid w:val="00925ABD"/>
    <w:rsid w:val="009275DB"/>
    <w:rsid w:val="00932936"/>
    <w:rsid w:val="00947810"/>
    <w:rsid w:val="00980D7A"/>
    <w:rsid w:val="009912BF"/>
    <w:rsid w:val="00995007"/>
    <w:rsid w:val="009B0C1F"/>
    <w:rsid w:val="009B1491"/>
    <w:rsid w:val="009D152C"/>
    <w:rsid w:val="009D32B4"/>
    <w:rsid w:val="009D3FBE"/>
    <w:rsid w:val="009F35D2"/>
    <w:rsid w:val="00A070EB"/>
    <w:rsid w:val="00A6034C"/>
    <w:rsid w:val="00A61348"/>
    <w:rsid w:val="00A80C4C"/>
    <w:rsid w:val="00A81039"/>
    <w:rsid w:val="00AD51F0"/>
    <w:rsid w:val="00AD6CAE"/>
    <w:rsid w:val="00AE09D4"/>
    <w:rsid w:val="00AF678C"/>
    <w:rsid w:val="00B02EF2"/>
    <w:rsid w:val="00B0310C"/>
    <w:rsid w:val="00B11932"/>
    <w:rsid w:val="00B13C0C"/>
    <w:rsid w:val="00B41FEA"/>
    <w:rsid w:val="00B60148"/>
    <w:rsid w:val="00B74B69"/>
    <w:rsid w:val="00B8742A"/>
    <w:rsid w:val="00B946A0"/>
    <w:rsid w:val="00BD7F55"/>
    <w:rsid w:val="00BE323C"/>
    <w:rsid w:val="00BF207A"/>
    <w:rsid w:val="00C00CF3"/>
    <w:rsid w:val="00C24981"/>
    <w:rsid w:val="00C42676"/>
    <w:rsid w:val="00C43D79"/>
    <w:rsid w:val="00C53F43"/>
    <w:rsid w:val="00C62C70"/>
    <w:rsid w:val="00C84A5B"/>
    <w:rsid w:val="00CD7313"/>
    <w:rsid w:val="00D40591"/>
    <w:rsid w:val="00D44E47"/>
    <w:rsid w:val="00D466F6"/>
    <w:rsid w:val="00D50310"/>
    <w:rsid w:val="00D610D0"/>
    <w:rsid w:val="00D91683"/>
    <w:rsid w:val="00DA267A"/>
    <w:rsid w:val="00DD2850"/>
    <w:rsid w:val="00DD302E"/>
    <w:rsid w:val="00DD7CB5"/>
    <w:rsid w:val="00DE3F5A"/>
    <w:rsid w:val="00E06854"/>
    <w:rsid w:val="00E07639"/>
    <w:rsid w:val="00E078E8"/>
    <w:rsid w:val="00E11D16"/>
    <w:rsid w:val="00E245BC"/>
    <w:rsid w:val="00E37A37"/>
    <w:rsid w:val="00E41A2D"/>
    <w:rsid w:val="00E66622"/>
    <w:rsid w:val="00E741B6"/>
    <w:rsid w:val="00E92A50"/>
    <w:rsid w:val="00EA23A2"/>
    <w:rsid w:val="00EB4CEF"/>
    <w:rsid w:val="00ED6E83"/>
    <w:rsid w:val="00EE00C6"/>
    <w:rsid w:val="00F23986"/>
    <w:rsid w:val="00F273EE"/>
    <w:rsid w:val="00F456DC"/>
    <w:rsid w:val="00F727C3"/>
    <w:rsid w:val="00F758C6"/>
    <w:rsid w:val="00F8431B"/>
    <w:rsid w:val="00F85AB8"/>
    <w:rsid w:val="00F907A2"/>
    <w:rsid w:val="00FA016F"/>
    <w:rsid w:val="00FA0A5A"/>
    <w:rsid w:val="00FA40AE"/>
    <w:rsid w:val="00FC0831"/>
    <w:rsid w:val="00FD38D1"/>
    <w:rsid w:val="00F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7F64E7"/>
  <w15:docId w15:val="{800A4F65-FABE-47DB-AF8A-6E31DFCA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960F8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6622"/>
  </w:style>
  <w:style w:type="paragraph" w:styleId="Pta">
    <w:name w:val="footer"/>
    <w:basedOn w:val="Normlny"/>
    <w:link w:val="PtaChar"/>
    <w:uiPriority w:val="99"/>
    <w:unhideWhenUsed/>
    <w:rsid w:val="00E6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6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WKX3UHSAJ2R6-2-1411818</_dlc_DocId>
    <_dlc_DocIdUrl xmlns="e60a29af-d413-48d4-bd90-fe9d2a897e4b">
      <Url>https://ovdmasv601/sites/DMS/_layouts/15/DocIdRedir.aspx?ID=WKX3UHSAJ2R6-2-1411818</Url>
      <Description>WKX3UHSAJ2R6-2-1411818</Description>
    </_dlc_DocIdUrl>
  </documentManagement>
</p:properties>
</file>

<file path=customXml/itemProps1.xml><?xml version="1.0" encoding="utf-8"?>
<ds:datastoreItem xmlns:ds="http://schemas.openxmlformats.org/officeDocument/2006/customXml" ds:itemID="{2A9DCE8B-9F71-432C-BB80-A33DD61A9F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5C3181-0E9B-4EF1-BCE8-7BB1F373C09F}"/>
</file>

<file path=customXml/itemProps3.xml><?xml version="1.0" encoding="utf-8"?>
<ds:datastoreItem xmlns:ds="http://schemas.openxmlformats.org/officeDocument/2006/customXml" ds:itemID="{C8815A3E-88ED-4735-99E8-561A8D45F37F}"/>
</file>

<file path=customXml/itemProps4.xml><?xml version="1.0" encoding="utf-8"?>
<ds:datastoreItem xmlns:ds="http://schemas.openxmlformats.org/officeDocument/2006/customXml" ds:itemID="{76957DC4-C9E1-412B-B39F-4C24BFF2B9E4}"/>
</file>

<file path=customXml/itemProps5.xml><?xml version="1.0" encoding="utf-8"?>
<ds:datastoreItem xmlns:ds="http://schemas.openxmlformats.org/officeDocument/2006/customXml" ds:itemID="{8268FB2B-B0B5-41AA-A0B4-A818E6151E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3155</Words>
  <Characters>17986</Characters>
  <Application>Microsoft Office Word</Application>
  <DocSecurity>0</DocSecurity>
  <Lines>149</Lines>
  <Paragraphs>42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Benová Tímea</cp:lastModifiedBy>
  <cp:revision>3</cp:revision>
  <dcterms:created xsi:type="dcterms:W3CDTF">2025-10-27T10:01:00Z</dcterms:created>
  <dcterms:modified xsi:type="dcterms:W3CDTF">2025-10-27T10:51:00Z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1fb64281-70b5-453a-bf62-70491bc69cc9</vt:lpwstr>
  </property>
</Properties>
</file>